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5A0" w:rsidRPr="00F615A0" w:rsidRDefault="00F615A0" w:rsidP="00F615A0">
      <w:pPr>
        <w:ind w:firstLine="900"/>
        <w:rPr>
          <w:sz w:val="20"/>
          <w:szCs w:val="20"/>
        </w:rPr>
      </w:pPr>
      <w:r w:rsidRPr="00F615A0">
        <w:rPr>
          <w:sz w:val="20"/>
          <w:szCs w:val="20"/>
        </w:rPr>
        <w:t>ЛЕКЦИЯ 1</w:t>
      </w:r>
      <w:r>
        <w:rPr>
          <w:sz w:val="20"/>
          <w:szCs w:val="20"/>
        </w:rPr>
        <w:t>1</w:t>
      </w:r>
      <w:r w:rsidRPr="00F615A0">
        <w:rPr>
          <w:sz w:val="20"/>
          <w:szCs w:val="20"/>
        </w:rPr>
        <w:t>. МЕТОДЫ ИССЛЕДОВАНИЯ УРОВНЕЙ РАДИАЦИОННОЙ БЕЗОПАСНОСТИ</w:t>
      </w:r>
    </w:p>
    <w:p w:rsidR="00F615A0" w:rsidRPr="00C4302E" w:rsidRDefault="00F615A0" w:rsidP="00F615A0">
      <w:pPr>
        <w:ind w:firstLine="900"/>
        <w:jc w:val="center"/>
        <w:rPr>
          <w:b/>
          <w:sz w:val="20"/>
          <w:szCs w:val="20"/>
        </w:rPr>
      </w:pPr>
    </w:p>
    <w:p w:rsidR="00F615A0" w:rsidRPr="00C4302E" w:rsidRDefault="00F615A0" w:rsidP="00F615A0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Для контроля получаемых доз облучения используются различные приборы, снабженные специальными детекторами, чувствительными к воздействию ионизирующих излучений.</w:t>
      </w:r>
    </w:p>
    <w:p w:rsidR="00F615A0" w:rsidRPr="00C4302E" w:rsidRDefault="00F615A0" w:rsidP="00F615A0">
      <w:pPr>
        <w:ind w:firstLine="900"/>
        <w:jc w:val="both"/>
        <w:outlineLvl w:val="0"/>
        <w:rPr>
          <w:sz w:val="20"/>
          <w:szCs w:val="20"/>
        </w:rPr>
      </w:pPr>
      <w:r w:rsidRPr="00C4302E">
        <w:rPr>
          <w:sz w:val="20"/>
          <w:szCs w:val="20"/>
        </w:rPr>
        <w:t>4.3.1 Детекторы излучений. Приборы, применяемые для регистрац</w:t>
      </w:r>
      <w:proofErr w:type="gramStart"/>
      <w:r w:rsidRPr="00C4302E">
        <w:rPr>
          <w:sz w:val="20"/>
          <w:szCs w:val="20"/>
        </w:rPr>
        <w:t>ии ио</w:t>
      </w:r>
      <w:proofErr w:type="gramEnd"/>
      <w:r w:rsidRPr="00C4302E">
        <w:rPr>
          <w:sz w:val="20"/>
          <w:szCs w:val="20"/>
        </w:rPr>
        <w:t>низирующих излучений называются детекторами излучений. Чаще всего используются детекторы, обнаруживающие излучение по производимому им эффекту ионизации, по этому принципу работают детекторы – ионизационные камеры.</w:t>
      </w:r>
    </w:p>
    <w:p w:rsidR="00F615A0" w:rsidRPr="00C4302E" w:rsidRDefault="00F615A0" w:rsidP="00F615A0">
      <w:pPr>
        <w:ind w:firstLine="900"/>
        <w:jc w:val="both"/>
        <w:outlineLvl w:val="0"/>
        <w:rPr>
          <w:sz w:val="20"/>
          <w:szCs w:val="20"/>
        </w:rPr>
      </w:pPr>
      <w:r w:rsidRPr="00C4302E">
        <w:rPr>
          <w:sz w:val="20"/>
          <w:szCs w:val="20"/>
        </w:rPr>
        <w:t xml:space="preserve"> </w:t>
      </w:r>
      <w:r w:rsidRPr="00C4302E">
        <w:rPr>
          <w:b/>
          <w:sz w:val="20"/>
          <w:szCs w:val="20"/>
        </w:rPr>
        <w:t>Ионизационная камера</w:t>
      </w:r>
      <w:r w:rsidRPr="00C4302E">
        <w:rPr>
          <w:sz w:val="20"/>
          <w:szCs w:val="20"/>
        </w:rPr>
        <w:t xml:space="preserve"> представляет собой цилиндрический конденсатор, между электродами которого находится воздух или другой газ. Между электродами создается напряжение, при появлен</w:t>
      </w:r>
      <w:proofErr w:type="gramStart"/>
      <w:r w:rsidRPr="00C4302E">
        <w:rPr>
          <w:sz w:val="20"/>
          <w:szCs w:val="20"/>
        </w:rPr>
        <w:t>ии ио</w:t>
      </w:r>
      <w:proofErr w:type="gramEnd"/>
      <w:r w:rsidRPr="00C4302E">
        <w:rPr>
          <w:sz w:val="20"/>
          <w:szCs w:val="20"/>
        </w:rPr>
        <w:t>низирующего излучения в камере возникает ионизационный ток, который измеряется специальным микроамперметром (рис. 4.1).</w:t>
      </w:r>
    </w:p>
    <w:p w:rsidR="00F615A0" w:rsidRPr="00C4302E" w:rsidRDefault="00F615A0" w:rsidP="00F615A0">
      <w:pPr>
        <w:ind w:firstLine="900"/>
        <w:jc w:val="both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567690</wp:posOffset>
            </wp:positionH>
            <wp:positionV relativeFrom="paragraph">
              <wp:align>bottom</wp:align>
            </wp:positionV>
            <wp:extent cx="2057400" cy="1190625"/>
            <wp:effectExtent l="19050" t="0" r="0" b="0"/>
            <wp:wrapThrough wrapText="bothSides">
              <wp:wrapPolygon edited="0">
                <wp:start x="-200" y="0"/>
                <wp:lineTo x="-200" y="21427"/>
                <wp:lineTo x="21600" y="21427"/>
                <wp:lineTo x="21600" y="0"/>
                <wp:lineTo x="-200" y="0"/>
              </wp:wrapPolygon>
            </wp:wrapThrough>
            <wp:docPr id="11" name="Рисунок 11" descr="IMAGE0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018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15A0" w:rsidRPr="00C4302E" w:rsidRDefault="00F615A0" w:rsidP="00F615A0">
      <w:pPr>
        <w:ind w:firstLine="900"/>
        <w:jc w:val="both"/>
        <w:rPr>
          <w:sz w:val="20"/>
          <w:szCs w:val="20"/>
        </w:rPr>
      </w:pPr>
      <w:r w:rsidRPr="00C4302E">
        <w:rPr>
          <w:sz w:val="20"/>
          <w:szCs w:val="20"/>
        </w:rPr>
        <w:t>Рис. 4.1 Схема ионизационной камеры. 1, 2- электроды; 3-измерительный прибор; 4-внешний источник напряжения; 5 – радиоактивный источник.</w:t>
      </w:r>
    </w:p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</w:rPr>
        <w:t>Ионизационная камера -  это простейший детектор, он используется для регистрации</w:t>
      </w:r>
      <w:r w:rsidRPr="00C4302E">
        <w:rPr>
          <w:sz w:val="20"/>
          <w:szCs w:val="20"/>
          <w:lang w:val="kk-KZ"/>
        </w:rPr>
        <w:t xml:space="preserve"> α,β и γ – излучений. </w:t>
      </w:r>
    </w:p>
    <w:p w:rsidR="00F615A0" w:rsidRPr="00C4302E" w:rsidRDefault="00F615A0" w:rsidP="00F615A0">
      <w:pPr>
        <w:ind w:firstLine="72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 xml:space="preserve">В качестве детекторов используются также газоразрядные, сцинцилляционные,полупровониковые и другие виды счетчиков. </w:t>
      </w:r>
    </w:p>
    <w:p w:rsidR="00F615A0" w:rsidRPr="00C4302E" w:rsidRDefault="00F615A0" w:rsidP="00F615A0">
      <w:pPr>
        <w:ind w:firstLine="72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 xml:space="preserve">       </w:t>
      </w:r>
      <w:r w:rsidRPr="00C4302E">
        <w:rPr>
          <w:b/>
          <w:sz w:val="20"/>
          <w:szCs w:val="20"/>
          <w:lang w:val="kk-KZ"/>
        </w:rPr>
        <w:t>Газоразрядные счетчики</w:t>
      </w:r>
      <w:r w:rsidRPr="00C4302E">
        <w:rPr>
          <w:sz w:val="20"/>
          <w:szCs w:val="20"/>
          <w:lang w:val="kk-KZ"/>
        </w:rPr>
        <w:t>. Используются для регистрации действия отдельных заряженных частиц и γ-квантов. Были изобретены немецикм физиком Гейгером и усовершенствованы Мюллером, поэтому называются счетчиками Гейгера-Мюллера. Счетчик представляет собой цилиндрическую трубку, покрытую внутри токопроводящим слоем. Трубка герметично закрыта, внутри проходит тонкая металлическая нить. Корпус счетчика является катодом, а нить – анодом. Рабочий объем счетчика заполнен газом ( аргон и примесью паров метилового спирта – СН</w:t>
      </w:r>
      <w:r w:rsidRPr="00C4302E">
        <w:rPr>
          <w:sz w:val="20"/>
          <w:szCs w:val="20"/>
          <w:vertAlign w:val="subscript"/>
          <w:lang w:val="kk-KZ"/>
        </w:rPr>
        <w:t>3</w:t>
      </w:r>
      <w:r w:rsidRPr="00C4302E">
        <w:rPr>
          <w:sz w:val="20"/>
          <w:szCs w:val="20"/>
          <w:lang w:val="kk-KZ"/>
        </w:rPr>
        <w:t xml:space="preserve">ОН) при далвении 0,1 атм. На электроды подается напряжение 1500-2000в (рис. 4.2). </w:t>
      </w:r>
    </w:p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 xml:space="preserve"> </w:t>
      </w:r>
      <w:r w:rsidRPr="00C4302E">
        <w:rPr>
          <w:b/>
          <w:sz w:val="20"/>
          <w:szCs w:val="20"/>
          <w:lang w:val="kk-KZ"/>
        </w:rPr>
        <w:t>Сцинцилляционные счетчики</w:t>
      </w:r>
      <w:r w:rsidRPr="00C4302E">
        <w:rPr>
          <w:sz w:val="20"/>
          <w:szCs w:val="20"/>
          <w:lang w:val="kk-KZ"/>
        </w:rPr>
        <w:t>. Их действие основано на регистрации илонизирующих излучений по появлению вспышек при попадании α-частиц на флуоресцирующие вещества. Подсчет α-частиц производится не визуально, а с использованием фотоумножителей.</w:t>
      </w:r>
    </w:p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  <w:r w:rsidRPr="00C4302E">
        <w:rPr>
          <w:b/>
          <w:sz w:val="20"/>
          <w:szCs w:val="20"/>
          <w:lang w:val="kk-KZ"/>
        </w:rPr>
        <w:t xml:space="preserve"> Полупроводниковые счетчики.</w:t>
      </w:r>
      <w:r w:rsidRPr="00C4302E">
        <w:rPr>
          <w:sz w:val="20"/>
          <w:szCs w:val="20"/>
          <w:lang w:val="kk-KZ"/>
        </w:rPr>
        <w:t xml:space="preserve"> Их действие основано на том, что при воздействии радиационного на объем полупроводника возникает избыточная концентрация носителей заряда, т.е. изменяется проводимлсть проводника. Эти детекторы обладают рядом недостатков:</w:t>
      </w:r>
    </w:p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-большая инерционность;</w:t>
      </w:r>
    </w:p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- довольно высокая стоимость;</w:t>
      </w:r>
    </w:p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- снижение чувстительности с повышением температуры;</w:t>
      </w:r>
    </w:p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Достоинства:</w:t>
      </w:r>
    </w:p>
    <w:p w:rsidR="00F615A0" w:rsidRPr="00C4302E" w:rsidRDefault="00F615A0" w:rsidP="00F615A0">
      <w:pPr>
        <w:numPr>
          <w:ilvl w:val="0"/>
          <w:numId w:val="1"/>
        </w:numPr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высокая эффективность регистрации;</w:t>
      </w:r>
    </w:p>
    <w:p w:rsidR="00F615A0" w:rsidRPr="00C4302E" w:rsidRDefault="00F615A0" w:rsidP="00F615A0">
      <w:pPr>
        <w:numPr>
          <w:ilvl w:val="0"/>
          <w:numId w:val="1"/>
        </w:numPr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малые габариты;</w:t>
      </w:r>
    </w:p>
    <w:p w:rsidR="00F615A0" w:rsidRPr="00C4302E" w:rsidRDefault="00F615A0" w:rsidP="00F615A0">
      <w:pPr>
        <w:numPr>
          <w:ilvl w:val="0"/>
          <w:numId w:val="1"/>
        </w:numPr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малое напряжение питания.</w:t>
      </w:r>
    </w:p>
    <w:p w:rsidR="00F615A0" w:rsidRPr="00C4302E" w:rsidRDefault="00F615A0" w:rsidP="00F615A0">
      <w:pPr>
        <w:ind w:firstLine="72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 xml:space="preserve">   </w:t>
      </w:r>
      <w:r w:rsidRPr="00C4302E">
        <w:rPr>
          <w:b/>
          <w:sz w:val="20"/>
          <w:szCs w:val="20"/>
          <w:lang w:val="kk-KZ"/>
        </w:rPr>
        <w:t>Другие виды детекторов.</w:t>
      </w:r>
      <w:r w:rsidRPr="00C4302E">
        <w:rPr>
          <w:sz w:val="20"/>
          <w:szCs w:val="20"/>
          <w:lang w:val="kk-KZ"/>
        </w:rPr>
        <w:t xml:space="preserve"> Среди них можно отметить: </w:t>
      </w:r>
    </w:p>
    <w:p w:rsidR="00F615A0" w:rsidRPr="00C4302E" w:rsidRDefault="00F615A0" w:rsidP="00F615A0">
      <w:pPr>
        <w:ind w:left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- счетчик Черенкова – используетсядля счета α- и β- частиц;</w:t>
      </w:r>
    </w:p>
    <w:p w:rsidR="00F615A0" w:rsidRPr="00C4302E" w:rsidRDefault="00F615A0" w:rsidP="00F615A0">
      <w:pPr>
        <w:ind w:left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- камера Вильсона;</w:t>
      </w:r>
    </w:p>
    <w:p w:rsidR="00F615A0" w:rsidRPr="00C4302E" w:rsidRDefault="00F615A0" w:rsidP="00F615A0">
      <w:pPr>
        <w:ind w:left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- пузырьковая камера;</w:t>
      </w:r>
    </w:p>
    <w:p w:rsidR="00F615A0" w:rsidRPr="00C4302E" w:rsidRDefault="00F615A0" w:rsidP="00F615A0">
      <w:pPr>
        <w:ind w:left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- фотографические счетчики;</w:t>
      </w:r>
    </w:p>
    <w:p w:rsidR="00F615A0" w:rsidRPr="00C4302E" w:rsidRDefault="00F615A0" w:rsidP="00F615A0">
      <w:pPr>
        <w:ind w:left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 xml:space="preserve"> - счетчики, действие которых основано на протекании необратимых химических реакций под действием радиации.</w:t>
      </w:r>
    </w:p>
    <w:p w:rsidR="00F615A0" w:rsidRPr="00C4302E" w:rsidRDefault="00F615A0" w:rsidP="00F615A0">
      <w:pPr>
        <w:ind w:left="900"/>
        <w:jc w:val="both"/>
        <w:rPr>
          <w:sz w:val="20"/>
          <w:szCs w:val="20"/>
          <w:lang w:val="kk-KZ"/>
        </w:rPr>
      </w:pPr>
    </w:p>
    <w:p w:rsidR="00F615A0" w:rsidRPr="00C4302E" w:rsidRDefault="00F615A0" w:rsidP="00F615A0">
      <w:pPr>
        <w:ind w:left="900"/>
        <w:jc w:val="both"/>
        <w:outlineLvl w:val="0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4.3.2 Приборы для регистрации радиационного излучения  По своему</w:t>
      </w:r>
    </w:p>
    <w:p w:rsidR="00F615A0" w:rsidRPr="00C4302E" w:rsidRDefault="00F615A0" w:rsidP="00F615A0">
      <w:pPr>
        <w:jc w:val="both"/>
        <w:outlineLvl w:val="0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назначению приборы для регистрации радиационного излучения подразделяются на:</w:t>
      </w:r>
    </w:p>
    <w:p w:rsidR="00F615A0" w:rsidRPr="00C4302E" w:rsidRDefault="00F615A0" w:rsidP="00F615A0">
      <w:pPr>
        <w:ind w:left="360" w:firstLine="54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- индикаторы;</w:t>
      </w:r>
    </w:p>
    <w:p w:rsidR="00F615A0" w:rsidRPr="00C4302E" w:rsidRDefault="00F615A0" w:rsidP="00F615A0">
      <w:pPr>
        <w:ind w:left="36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 xml:space="preserve">       - рентгенометры;</w:t>
      </w:r>
    </w:p>
    <w:p w:rsidR="00F615A0" w:rsidRPr="00C4302E" w:rsidRDefault="00F615A0" w:rsidP="00F615A0">
      <w:pPr>
        <w:ind w:left="36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 xml:space="preserve">       - дозиметры;</w:t>
      </w:r>
    </w:p>
    <w:p w:rsidR="00F615A0" w:rsidRPr="00C4302E" w:rsidRDefault="00F615A0" w:rsidP="00F615A0">
      <w:pPr>
        <w:ind w:left="36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 xml:space="preserve">       - радиометры;</w:t>
      </w:r>
    </w:p>
    <w:p w:rsidR="00F615A0" w:rsidRPr="00C4302E" w:rsidRDefault="00F615A0" w:rsidP="00F615A0">
      <w:pPr>
        <w:ind w:left="36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 xml:space="preserve">       - спектрометры;</w:t>
      </w:r>
    </w:p>
    <w:p w:rsidR="00F615A0" w:rsidRPr="00C4302E" w:rsidRDefault="00F615A0" w:rsidP="00F615A0">
      <w:pPr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 xml:space="preserve">            - комбинированные приборы для измерения ионизирующего излучения.</w:t>
      </w:r>
    </w:p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 xml:space="preserve"> </w:t>
      </w:r>
      <w:r w:rsidRPr="00C4302E">
        <w:rPr>
          <w:b/>
          <w:sz w:val="20"/>
          <w:szCs w:val="20"/>
          <w:lang w:val="kk-KZ"/>
        </w:rPr>
        <w:t>Индикаторы</w:t>
      </w:r>
      <w:r w:rsidRPr="00C4302E">
        <w:rPr>
          <w:sz w:val="20"/>
          <w:szCs w:val="20"/>
          <w:lang w:val="kk-KZ"/>
        </w:rPr>
        <w:t xml:space="preserve"> – простейшие приборы радиационной разведки, при их помощи главным образом обнаруживаются β- и γ – излучения. Эти приборы снабжены световой илит звуковой индикацией. Датчик – счетчик Гейгера-Мюллера.</w:t>
      </w:r>
    </w:p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 xml:space="preserve"> </w:t>
      </w:r>
      <w:r w:rsidRPr="00C4302E">
        <w:rPr>
          <w:b/>
          <w:sz w:val="20"/>
          <w:szCs w:val="20"/>
          <w:lang w:val="kk-KZ"/>
        </w:rPr>
        <w:t>Рентгенометры</w:t>
      </w:r>
      <w:r w:rsidRPr="00C4302E">
        <w:rPr>
          <w:sz w:val="20"/>
          <w:szCs w:val="20"/>
          <w:lang w:val="kk-KZ"/>
        </w:rPr>
        <w:t xml:space="preserve"> – предназначены для измерения мощности дозы рентгеновского и γ – излучения. В качестве датчиков в них используются ионизационные камеры или газоразрядные счетчики.</w:t>
      </w:r>
    </w:p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lastRenderedPageBreak/>
        <w:t xml:space="preserve"> </w:t>
      </w:r>
      <w:r w:rsidRPr="00C4302E">
        <w:rPr>
          <w:b/>
          <w:sz w:val="20"/>
          <w:szCs w:val="20"/>
          <w:lang w:val="kk-KZ"/>
        </w:rPr>
        <w:t>Дозиметры</w:t>
      </w:r>
      <w:r w:rsidRPr="00C4302E">
        <w:rPr>
          <w:sz w:val="20"/>
          <w:szCs w:val="20"/>
          <w:lang w:val="kk-KZ"/>
        </w:rPr>
        <w:t xml:space="preserve"> – служат для измерения дозы ( экспозиционной, поглощенной, эквивалентной) и мощности поглощенной дозыионизирующего излучения. Индивидуальные дозиметры представляют собой малогабаритные ионизационные камеры или фотокассеты с пленкой.</w:t>
      </w:r>
    </w:p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 xml:space="preserve"> </w:t>
      </w:r>
      <w:r w:rsidRPr="00C4302E">
        <w:rPr>
          <w:b/>
          <w:sz w:val="20"/>
          <w:szCs w:val="20"/>
          <w:lang w:val="kk-KZ"/>
        </w:rPr>
        <w:t>Радиометры</w:t>
      </w:r>
      <w:r w:rsidRPr="00C4302E">
        <w:rPr>
          <w:sz w:val="20"/>
          <w:szCs w:val="20"/>
          <w:lang w:val="kk-KZ"/>
        </w:rPr>
        <w:t xml:space="preserve"> – предназначены для измерения плотности потока ионизирующих излучений и активности радионуклидов. Датчиками в радиометрах служат газоразрядные и сцинцилляционные счетчики.</w:t>
      </w:r>
    </w:p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970915</wp:posOffset>
            </wp:positionV>
            <wp:extent cx="2895600" cy="2476500"/>
            <wp:effectExtent l="19050" t="0" r="0" b="0"/>
            <wp:wrapSquare wrapText="bothSides"/>
            <wp:docPr id="12" name="Рисунок 12" descr="радинукл.%20из%20иноенета/Глава%208_%20Источники%20радиации.files/image032_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радинукл.%20из%20иноенета/Глава%208_%20Источники%20радиации.files/image032_a.gif"/>
                    <pic:cNvPicPr>
                      <a:picLocks noChangeAspect="1" noChangeArrowheads="1"/>
                    </pic:cNvPicPr>
                  </pic:nvPicPr>
                  <pic:blipFill>
                    <a:blip r:embed="rId6" r:link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4302E">
        <w:rPr>
          <w:sz w:val="20"/>
          <w:szCs w:val="20"/>
          <w:lang w:val="kk-KZ"/>
        </w:rPr>
        <w:t xml:space="preserve"> </w:t>
      </w:r>
      <w:r w:rsidRPr="00C4302E">
        <w:rPr>
          <w:b/>
          <w:sz w:val="20"/>
          <w:szCs w:val="20"/>
          <w:lang w:val="kk-KZ"/>
        </w:rPr>
        <w:t>Дозиметрические приборы для населения</w:t>
      </w:r>
      <w:r w:rsidRPr="00C4302E">
        <w:rPr>
          <w:sz w:val="20"/>
          <w:szCs w:val="20"/>
          <w:lang w:val="kk-KZ"/>
        </w:rPr>
        <w:t xml:space="preserve"> – предназаначены для оценки радиационной обстановки на местности, в жилых и рабочих помещениях. На практике наибольшее распространение получили бытовые дозиметричесике приборы для регистрации внешнего ( фотонного) и γ – излучения. На рисунке 4.2 показан детектор-индикатор радона.</w:t>
      </w:r>
    </w:p>
    <w:p w:rsidR="00F615A0" w:rsidRPr="00C4302E" w:rsidRDefault="00F615A0" w:rsidP="00F615A0">
      <w:pPr>
        <w:spacing w:before="150" w:after="75"/>
        <w:jc w:val="center"/>
        <w:rPr>
          <w:color w:val="000000"/>
          <w:sz w:val="20"/>
          <w:szCs w:val="20"/>
        </w:rPr>
      </w:pPr>
      <w:r w:rsidRPr="00C4302E">
        <w:rPr>
          <w:color w:val="000000"/>
          <w:sz w:val="20"/>
          <w:szCs w:val="20"/>
        </w:rPr>
        <w:t>Рис. 4.2 Детектор-индикатор радона</w:t>
      </w:r>
    </w:p>
    <w:p w:rsidR="00F615A0" w:rsidRPr="00C4302E" w:rsidRDefault="00F615A0" w:rsidP="00F615A0">
      <w:pPr>
        <w:spacing w:before="150" w:after="75"/>
        <w:jc w:val="center"/>
        <w:rPr>
          <w:rFonts w:ascii="Arial" w:hAnsi="Arial" w:cs="Arial"/>
          <w:color w:val="000000"/>
          <w:sz w:val="20"/>
          <w:szCs w:val="20"/>
        </w:rPr>
      </w:pPr>
    </w:p>
    <w:p w:rsidR="00F615A0" w:rsidRPr="00C4302E" w:rsidRDefault="00F615A0" w:rsidP="00F615A0">
      <w:pPr>
        <w:spacing w:before="150" w:after="150"/>
        <w:ind w:firstLine="720"/>
        <w:jc w:val="both"/>
        <w:rPr>
          <w:color w:val="000000"/>
          <w:sz w:val="20"/>
          <w:szCs w:val="20"/>
        </w:rPr>
      </w:pPr>
      <w:r w:rsidRPr="00C4302E">
        <w:rPr>
          <w:color w:val="000000"/>
          <w:sz w:val="20"/>
          <w:szCs w:val="20"/>
        </w:rPr>
        <w:t xml:space="preserve">Детектор  предназначен для оценки эквивалентной равновесной объемной активности (ЭРОА) радона-222 в воздухе жилых и общественных помещений. Определение ЭРОА основано на электростатическом осаждении на поверхность детектора заряженных частиц дочерних продуктов радона. Объемная активность радона определяется по количеству зарегистрированных альфа-частиц при распаде </w:t>
      </w:r>
      <w:proofErr w:type="spellStart"/>
      <w:r w:rsidRPr="00C4302E">
        <w:rPr>
          <w:color w:val="000000"/>
          <w:sz w:val="20"/>
          <w:szCs w:val="20"/>
        </w:rPr>
        <w:t>Ро</w:t>
      </w:r>
      <w:proofErr w:type="spellEnd"/>
      <w:r w:rsidRPr="00C4302E">
        <w:rPr>
          <w:color w:val="000000"/>
          <w:sz w:val="20"/>
          <w:szCs w:val="20"/>
        </w:rPr>
        <w:t xml:space="preserve"> </w:t>
      </w:r>
      <w:r w:rsidRPr="00C4302E">
        <w:rPr>
          <w:color w:val="000000"/>
          <w:sz w:val="20"/>
          <w:szCs w:val="20"/>
          <w:vertAlign w:val="superscript"/>
        </w:rPr>
        <w:t>218</w:t>
      </w:r>
      <w:r w:rsidRPr="00C4302E">
        <w:rPr>
          <w:color w:val="000000"/>
          <w:sz w:val="20"/>
          <w:szCs w:val="20"/>
        </w:rPr>
        <w:t xml:space="preserve"> (</w:t>
      </w:r>
      <w:proofErr w:type="spellStart"/>
      <w:r w:rsidRPr="00C4302E">
        <w:rPr>
          <w:color w:val="000000"/>
          <w:sz w:val="20"/>
          <w:szCs w:val="20"/>
        </w:rPr>
        <w:t>Ra</w:t>
      </w:r>
      <w:proofErr w:type="gramStart"/>
      <w:r w:rsidRPr="00C4302E">
        <w:rPr>
          <w:color w:val="000000"/>
          <w:sz w:val="20"/>
          <w:szCs w:val="20"/>
        </w:rPr>
        <w:t>А</w:t>
      </w:r>
      <w:proofErr w:type="spellEnd"/>
      <w:proofErr w:type="gramEnd"/>
      <w:r w:rsidRPr="00C4302E">
        <w:rPr>
          <w:color w:val="000000"/>
          <w:sz w:val="20"/>
          <w:szCs w:val="20"/>
        </w:rPr>
        <w:t xml:space="preserve">) и </w:t>
      </w:r>
      <w:proofErr w:type="spellStart"/>
      <w:r w:rsidRPr="00C4302E">
        <w:rPr>
          <w:color w:val="000000"/>
          <w:sz w:val="20"/>
          <w:szCs w:val="20"/>
        </w:rPr>
        <w:t>Ро</w:t>
      </w:r>
      <w:proofErr w:type="spellEnd"/>
      <w:r w:rsidRPr="00C4302E">
        <w:rPr>
          <w:color w:val="000000"/>
          <w:sz w:val="20"/>
          <w:szCs w:val="20"/>
        </w:rPr>
        <w:t xml:space="preserve"> </w:t>
      </w:r>
      <w:r w:rsidRPr="00C4302E">
        <w:rPr>
          <w:color w:val="000000"/>
          <w:sz w:val="20"/>
          <w:szCs w:val="20"/>
          <w:vertAlign w:val="superscript"/>
        </w:rPr>
        <w:t>214</w:t>
      </w:r>
      <w:r w:rsidRPr="00C4302E">
        <w:rPr>
          <w:color w:val="000000"/>
          <w:sz w:val="20"/>
          <w:szCs w:val="20"/>
        </w:rPr>
        <w:t xml:space="preserve"> (</w:t>
      </w:r>
      <w:proofErr w:type="spellStart"/>
      <w:r w:rsidRPr="00C4302E">
        <w:rPr>
          <w:color w:val="000000"/>
          <w:sz w:val="20"/>
          <w:szCs w:val="20"/>
        </w:rPr>
        <w:t>RaС</w:t>
      </w:r>
      <w:proofErr w:type="spellEnd"/>
      <w:r w:rsidRPr="00C4302E">
        <w:rPr>
          <w:color w:val="000000"/>
          <w:sz w:val="20"/>
          <w:szCs w:val="20"/>
        </w:rPr>
        <w:t xml:space="preserve">'). Детектор    позволяет   непрерывно  оценивать    значение ЭРОА, анализировать динамику изменения ЭРОА и определять усредненное значение ЭРОА. Детектор  выполнен в виде портативного переносного прибора с автономным питанием. В таблице 4.4 </w:t>
      </w:r>
      <w:proofErr w:type="spellStart"/>
      <w:r w:rsidRPr="00C4302E">
        <w:rPr>
          <w:color w:val="000000"/>
          <w:sz w:val="20"/>
          <w:szCs w:val="20"/>
        </w:rPr>
        <w:t>преведены</w:t>
      </w:r>
      <w:proofErr w:type="spellEnd"/>
      <w:r w:rsidRPr="00C4302E">
        <w:rPr>
          <w:color w:val="000000"/>
          <w:sz w:val="20"/>
          <w:szCs w:val="20"/>
        </w:rPr>
        <w:t xml:space="preserve"> основные характеристики прибора</w:t>
      </w:r>
    </w:p>
    <w:p w:rsidR="00F615A0" w:rsidRPr="00C4302E" w:rsidRDefault="00F615A0" w:rsidP="00F615A0">
      <w:pPr>
        <w:spacing w:before="150" w:after="150"/>
        <w:ind w:firstLine="720"/>
        <w:jc w:val="both"/>
        <w:rPr>
          <w:color w:val="000000"/>
          <w:sz w:val="20"/>
          <w:szCs w:val="20"/>
        </w:rPr>
      </w:pPr>
      <w:r w:rsidRPr="00C4302E">
        <w:rPr>
          <w:color w:val="000000"/>
          <w:sz w:val="20"/>
          <w:szCs w:val="20"/>
        </w:rPr>
        <w:t>Таблица 4.4 – основные характеристики детектора-индикатора радона</w:t>
      </w:r>
    </w:p>
    <w:tbl>
      <w:tblPr>
        <w:tblW w:w="5000" w:type="pct"/>
        <w:jc w:val="center"/>
        <w:tblCellSpacing w:w="7" w:type="dxa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tblLook w:val="0000"/>
      </w:tblPr>
      <w:tblGrid>
        <w:gridCol w:w="6310"/>
        <w:gridCol w:w="1047"/>
        <w:gridCol w:w="2086"/>
      </w:tblGrid>
      <w:tr w:rsidR="00F615A0" w:rsidRPr="00C4302E" w:rsidTr="00692A97">
        <w:trPr>
          <w:tblCellSpacing w:w="7" w:type="dxa"/>
          <w:jc w:val="center"/>
        </w:trPr>
        <w:tc>
          <w:tcPr>
            <w:tcW w:w="3350" w:type="pct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Чувствительность </w:t>
            </w:r>
          </w:p>
        </w:tc>
        <w:tc>
          <w:tcPr>
            <w:tcW w:w="550" w:type="pct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C4302E">
              <w:rPr>
                <w:color w:val="000000"/>
                <w:sz w:val="20"/>
                <w:szCs w:val="20"/>
              </w:rPr>
              <w:t>отн</w:t>
            </w:r>
            <w:proofErr w:type="gramStart"/>
            <w:r w:rsidRPr="00C4302E">
              <w:rPr>
                <w:color w:val="000000"/>
                <w:sz w:val="20"/>
                <w:szCs w:val="20"/>
              </w:rPr>
              <w:t>.е</w:t>
            </w:r>
            <w:proofErr w:type="gramEnd"/>
            <w:r w:rsidRPr="00C4302E">
              <w:rPr>
                <w:color w:val="000000"/>
                <w:sz w:val="20"/>
                <w:szCs w:val="20"/>
              </w:rPr>
              <w:t>д</w:t>
            </w:r>
            <w:proofErr w:type="spellEnd"/>
          </w:p>
        </w:tc>
        <w:tc>
          <w:tcPr>
            <w:tcW w:w="1100" w:type="pct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>0,64±0,05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Уровни срабатывания порогового табло: </w:t>
            </w:r>
            <w:r w:rsidRPr="00C4302E">
              <w:rPr>
                <w:color w:val="000000"/>
                <w:sz w:val="20"/>
                <w:szCs w:val="20"/>
              </w:rPr>
              <w:br/>
            </w:r>
            <w:proofErr w:type="gramStart"/>
            <w:r w:rsidRPr="00C4302E">
              <w:rPr>
                <w:color w:val="000000"/>
                <w:sz w:val="20"/>
                <w:szCs w:val="20"/>
              </w:rPr>
              <w:t>желтый</w:t>
            </w:r>
            <w:proofErr w:type="gramEnd"/>
            <w:r w:rsidRPr="00C4302E">
              <w:rPr>
                <w:color w:val="000000"/>
                <w:sz w:val="20"/>
                <w:szCs w:val="20"/>
              </w:rPr>
              <w:t xml:space="preserve"> </w:t>
            </w:r>
            <w:r w:rsidRPr="00C4302E">
              <w:rPr>
                <w:color w:val="000000"/>
                <w:sz w:val="20"/>
                <w:szCs w:val="20"/>
              </w:rPr>
              <w:br/>
              <w:t xml:space="preserve">красный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>Бк/м</w:t>
            </w:r>
            <w:r w:rsidRPr="00C4302E">
              <w:rPr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br/>
              <w:t xml:space="preserve">100±40 </w:t>
            </w:r>
            <w:r w:rsidRPr="00C4302E">
              <w:rPr>
                <w:color w:val="000000"/>
                <w:sz w:val="20"/>
                <w:szCs w:val="20"/>
              </w:rPr>
              <w:br/>
              <w:t>200±60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>Диапазон показаний ЭРОА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>Бк/м</w:t>
            </w:r>
            <w:r w:rsidRPr="00C4302E">
              <w:rPr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>от 50 до 8000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>Собственный фон изделия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>Бк/м</w:t>
            </w:r>
            <w:r w:rsidRPr="00C4302E">
              <w:rPr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менее 10 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>Время установления рабочего режима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>мин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>не более 20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Цикл измерения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час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4 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Источник питания два элемента питания типа LR14G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В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1,5 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Температурный диапазон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°С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>+10...+35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Время непрерывной работы (при элементах питания типа DURACELL ULTRA)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час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>не менее 480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Габаритные размеры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proofErr w:type="gramStart"/>
            <w:r w:rsidRPr="00C4302E">
              <w:rPr>
                <w:color w:val="000000"/>
                <w:sz w:val="20"/>
                <w:szCs w:val="20"/>
              </w:rPr>
              <w:t>мм</w:t>
            </w:r>
            <w:proofErr w:type="gramEnd"/>
            <w:r w:rsidRPr="00C4302E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>не более 188x60x74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Масса (без элементов питания)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proofErr w:type="gramStart"/>
            <w:r w:rsidRPr="00C4302E">
              <w:rPr>
                <w:color w:val="000000"/>
                <w:sz w:val="20"/>
                <w:szCs w:val="20"/>
              </w:rPr>
              <w:t>кг</w:t>
            </w:r>
            <w:proofErr w:type="gramEnd"/>
            <w:r w:rsidRPr="00C4302E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не более 0,65 </w:t>
            </w:r>
          </w:p>
        </w:tc>
      </w:tr>
    </w:tbl>
    <w:p w:rsidR="00F615A0" w:rsidRPr="00C4302E" w:rsidRDefault="00F615A0" w:rsidP="00F615A0">
      <w:pPr>
        <w:spacing w:before="150" w:after="150"/>
        <w:ind w:firstLine="720"/>
        <w:jc w:val="both"/>
        <w:rPr>
          <w:color w:val="000000"/>
          <w:sz w:val="20"/>
          <w:szCs w:val="20"/>
        </w:rPr>
      </w:pPr>
      <w:r w:rsidRPr="00C4302E">
        <w:rPr>
          <w:bCs/>
          <w:color w:val="000000"/>
          <w:sz w:val="20"/>
          <w:szCs w:val="20"/>
        </w:rPr>
        <w:lastRenderedPageBreak/>
        <w:t xml:space="preserve">На рис. 4.3 показан детектор - индикатор радиоактивности КВАРТЕКС РД 8901. </w:t>
      </w:r>
      <w:r w:rsidRPr="00C4302E">
        <w:rPr>
          <w:rFonts w:ascii="Arial" w:hAnsi="Arial" w:cs="Arial"/>
          <w:color w:val="000000"/>
          <w:sz w:val="20"/>
          <w:szCs w:val="20"/>
        </w:rPr>
        <w:t xml:space="preserve"> </w:t>
      </w:r>
      <w:r w:rsidRPr="00C4302E">
        <w:rPr>
          <w:color w:val="000000"/>
          <w:sz w:val="20"/>
          <w:szCs w:val="20"/>
        </w:rPr>
        <w:t>Прибор</w:t>
      </w:r>
      <w:r w:rsidRPr="00C4302E">
        <w:rPr>
          <w:rFonts w:ascii="Arial" w:hAnsi="Arial" w:cs="Arial"/>
          <w:color w:val="000000"/>
          <w:sz w:val="20"/>
          <w:szCs w:val="20"/>
        </w:rPr>
        <w:t xml:space="preserve"> </w:t>
      </w:r>
      <w:r w:rsidRPr="00C4302E">
        <w:rPr>
          <w:color w:val="000000"/>
          <w:sz w:val="20"/>
          <w:szCs w:val="20"/>
        </w:rPr>
        <w:t xml:space="preserve">предназначен для самостоятельной оценки радиоактивной загрязнённости (суммарной, по </w:t>
      </w:r>
      <w:proofErr w:type="spellStart"/>
      <w:r w:rsidRPr="00C4302E">
        <w:rPr>
          <w:color w:val="000000"/>
          <w:sz w:val="20"/>
          <w:szCs w:val="20"/>
        </w:rPr>
        <w:t>гамма+бета</w:t>
      </w:r>
      <w:proofErr w:type="spellEnd"/>
      <w:proofErr w:type="gramStart"/>
      <w:r w:rsidRPr="00C4302E">
        <w:rPr>
          <w:color w:val="000000"/>
          <w:sz w:val="20"/>
          <w:szCs w:val="20"/>
        </w:rPr>
        <w:t xml:space="preserve"> )</w:t>
      </w:r>
      <w:proofErr w:type="gramEnd"/>
      <w:r w:rsidRPr="00C4302E">
        <w:rPr>
          <w:color w:val="000000"/>
          <w:sz w:val="20"/>
          <w:szCs w:val="20"/>
        </w:rPr>
        <w:t xml:space="preserve"> твёрдых и жидких продуктов питания, предметов быта, строительных материалов и окружающей среды.</w:t>
      </w:r>
      <w:r w:rsidRPr="00C4302E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gramStart"/>
      <w:r w:rsidRPr="00C4302E">
        <w:rPr>
          <w:color w:val="000000"/>
          <w:sz w:val="20"/>
          <w:szCs w:val="20"/>
        </w:rPr>
        <w:t>Разработан</w:t>
      </w:r>
      <w:proofErr w:type="gramEnd"/>
      <w:r w:rsidRPr="00C4302E">
        <w:rPr>
          <w:color w:val="000000"/>
          <w:sz w:val="20"/>
          <w:szCs w:val="20"/>
        </w:rPr>
        <w:t xml:space="preserve"> в соответствии с Положением о метрологическом статусе, порядке разработки, постановке на производство и поверке дозиметрических и радиометрических приборов для населения. Результаты оценки выводятся в виде  цифровой информации в микрорентгенах за час через 0,5 минуты после включения. Повышение надёжности измерения достигается обработкой результатов (арифметическим усреднением) для снижения влияния флуктуации естественного </w:t>
      </w:r>
      <w:proofErr w:type="spellStart"/>
      <w:proofErr w:type="gramStart"/>
      <w:r w:rsidRPr="00C4302E">
        <w:rPr>
          <w:color w:val="000000"/>
          <w:sz w:val="20"/>
          <w:szCs w:val="20"/>
        </w:rPr>
        <w:t>гамма-фона</w:t>
      </w:r>
      <w:proofErr w:type="spellEnd"/>
      <w:proofErr w:type="gramEnd"/>
      <w:r w:rsidRPr="00C4302E">
        <w:rPr>
          <w:color w:val="000000"/>
          <w:sz w:val="20"/>
          <w:szCs w:val="20"/>
        </w:rPr>
        <w:t xml:space="preserve">. </w:t>
      </w:r>
    </w:p>
    <w:p w:rsidR="00F615A0" w:rsidRPr="00C4302E" w:rsidRDefault="00F615A0" w:rsidP="00F615A0">
      <w:pPr>
        <w:spacing w:before="150" w:after="150"/>
        <w:ind w:firstLine="720"/>
        <w:jc w:val="both"/>
        <w:rPr>
          <w:color w:val="000000"/>
          <w:sz w:val="20"/>
          <w:szCs w:val="20"/>
        </w:rPr>
      </w:pPr>
      <w:r w:rsidRPr="00C4302E">
        <w:rPr>
          <w:color w:val="000000"/>
          <w:sz w:val="20"/>
          <w:szCs w:val="20"/>
        </w:rPr>
        <w:t xml:space="preserve">Прибор способен выдавать мгновенную информацию сразу после включения при опасно высоком (выше 999 </w:t>
      </w:r>
      <w:proofErr w:type="spellStart"/>
      <w:r w:rsidRPr="00C4302E">
        <w:rPr>
          <w:color w:val="000000"/>
          <w:sz w:val="20"/>
          <w:szCs w:val="20"/>
        </w:rPr>
        <w:t>мкР</w:t>
      </w:r>
      <w:proofErr w:type="spellEnd"/>
      <w:r w:rsidRPr="00C4302E">
        <w:rPr>
          <w:color w:val="000000"/>
          <w:sz w:val="20"/>
          <w:szCs w:val="20"/>
        </w:rPr>
        <w:t xml:space="preserve">/ч) уровне радиации. Имеется возможность работы в режиме «поиск» для обнаружения источника радиации. </w:t>
      </w:r>
      <w:proofErr w:type="gramStart"/>
      <w:r w:rsidRPr="00C4302E">
        <w:rPr>
          <w:color w:val="000000"/>
          <w:sz w:val="20"/>
          <w:szCs w:val="20"/>
        </w:rPr>
        <w:t>Снабжен</w:t>
      </w:r>
      <w:proofErr w:type="gramEnd"/>
      <w:r w:rsidRPr="00C4302E">
        <w:rPr>
          <w:color w:val="000000"/>
          <w:sz w:val="20"/>
          <w:szCs w:val="20"/>
        </w:rPr>
        <w:t xml:space="preserve"> контролем разряда батареи. Гарантийный срок эксплуатации прибора– </w:t>
      </w:r>
      <w:proofErr w:type="gramStart"/>
      <w:r w:rsidRPr="00C4302E">
        <w:rPr>
          <w:color w:val="000000"/>
          <w:sz w:val="20"/>
          <w:szCs w:val="20"/>
        </w:rPr>
        <w:t>тр</w:t>
      </w:r>
      <w:proofErr w:type="gramEnd"/>
      <w:r w:rsidRPr="00C4302E">
        <w:rPr>
          <w:color w:val="000000"/>
          <w:sz w:val="20"/>
          <w:szCs w:val="20"/>
        </w:rPr>
        <w:t xml:space="preserve">и года со дня продажи через розничную торговую сеть, при поставках для внерыночного потребления – со дня получения потребителем. </w:t>
      </w:r>
    </w:p>
    <w:p w:rsidR="00F615A0" w:rsidRPr="00C4302E" w:rsidRDefault="00F615A0" w:rsidP="00F615A0">
      <w:pPr>
        <w:spacing w:before="150" w:after="150"/>
        <w:ind w:firstLine="720"/>
        <w:jc w:val="both"/>
        <w:rPr>
          <w:color w:val="000000"/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453390</wp:posOffset>
            </wp:positionH>
            <wp:positionV relativeFrom="paragraph">
              <wp:posOffset>-25400</wp:posOffset>
            </wp:positionV>
            <wp:extent cx="1943100" cy="2315210"/>
            <wp:effectExtent l="19050" t="0" r="0" b="0"/>
            <wp:wrapSquare wrapText="bothSides"/>
            <wp:docPr id="13" name="Рисунок 13" descr="радинукл.%20из%20иноенета/Глава%208_%20Источники%20радиации.files/image032_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радинукл.%20из%20иноенета/Глава%208_%20Источники%20радиации.files/image032_b.gif"/>
                    <pic:cNvPicPr>
                      <a:picLocks noChangeAspect="1" noChangeArrowheads="1"/>
                    </pic:cNvPicPr>
                  </pic:nvPicPr>
                  <pic:blipFill>
                    <a:blip r:embed="rId8" r:link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2315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15A0" w:rsidRPr="00C4302E" w:rsidRDefault="00F615A0" w:rsidP="00F615A0">
      <w:pPr>
        <w:spacing w:before="150" w:after="75"/>
        <w:jc w:val="center"/>
        <w:rPr>
          <w:bCs/>
          <w:color w:val="000000"/>
          <w:sz w:val="20"/>
          <w:szCs w:val="20"/>
        </w:rPr>
      </w:pPr>
      <w:r w:rsidRPr="00C4302E">
        <w:rPr>
          <w:color w:val="000000"/>
          <w:sz w:val="20"/>
          <w:szCs w:val="20"/>
        </w:rPr>
        <w:t xml:space="preserve">   Рис. 4.3 </w:t>
      </w:r>
      <w:r w:rsidRPr="00C4302E">
        <w:rPr>
          <w:bCs/>
          <w:color w:val="000000"/>
          <w:sz w:val="20"/>
          <w:szCs w:val="20"/>
        </w:rPr>
        <w:t>Детектор - индикатор радиоактивности КВАРТЕКС РД 8901.</w:t>
      </w:r>
    </w:p>
    <w:p w:rsidR="00F615A0" w:rsidRPr="00C4302E" w:rsidRDefault="00F615A0" w:rsidP="00F615A0">
      <w:pPr>
        <w:spacing w:before="150" w:after="75"/>
        <w:ind w:firstLine="540"/>
        <w:jc w:val="both"/>
        <w:rPr>
          <w:bCs/>
          <w:color w:val="000000"/>
          <w:sz w:val="20"/>
          <w:szCs w:val="20"/>
        </w:rPr>
      </w:pPr>
      <w:r w:rsidRPr="00C4302E">
        <w:rPr>
          <w:bCs/>
          <w:color w:val="000000"/>
          <w:sz w:val="20"/>
          <w:szCs w:val="20"/>
        </w:rPr>
        <w:t>В таблице 4.5 представлены основные характеристики прибора</w:t>
      </w:r>
    </w:p>
    <w:p w:rsidR="00F615A0" w:rsidRPr="00C4302E" w:rsidRDefault="00F615A0" w:rsidP="00F615A0">
      <w:pPr>
        <w:spacing w:before="150" w:after="75"/>
        <w:ind w:firstLine="540"/>
        <w:jc w:val="both"/>
        <w:rPr>
          <w:bCs/>
          <w:color w:val="000000"/>
          <w:sz w:val="20"/>
          <w:szCs w:val="20"/>
        </w:rPr>
      </w:pPr>
    </w:p>
    <w:p w:rsidR="00F615A0" w:rsidRPr="00C4302E" w:rsidRDefault="00F615A0" w:rsidP="00F615A0">
      <w:pPr>
        <w:spacing w:before="150" w:after="75"/>
        <w:ind w:firstLine="540"/>
        <w:jc w:val="both"/>
        <w:rPr>
          <w:bCs/>
          <w:color w:val="000000"/>
          <w:sz w:val="20"/>
          <w:szCs w:val="20"/>
        </w:rPr>
      </w:pPr>
    </w:p>
    <w:p w:rsidR="00F615A0" w:rsidRPr="00C4302E" w:rsidRDefault="00F615A0" w:rsidP="00F615A0">
      <w:pPr>
        <w:spacing w:before="150" w:after="75"/>
        <w:jc w:val="both"/>
        <w:rPr>
          <w:bCs/>
          <w:color w:val="000000"/>
          <w:sz w:val="20"/>
          <w:szCs w:val="20"/>
        </w:rPr>
      </w:pPr>
    </w:p>
    <w:p w:rsidR="00F615A0" w:rsidRPr="00C4302E" w:rsidRDefault="00F615A0" w:rsidP="00F615A0">
      <w:pPr>
        <w:spacing w:before="150" w:after="75"/>
        <w:ind w:firstLine="540"/>
        <w:jc w:val="both"/>
        <w:rPr>
          <w:color w:val="000000"/>
          <w:sz w:val="20"/>
          <w:szCs w:val="20"/>
        </w:rPr>
      </w:pPr>
      <w:r w:rsidRPr="00C4302E">
        <w:rPr>
          <w:bCs/>
          <w:color w:val="000000"/>
          <w:sz w:val="20"/>
          <w:szCs w:val="20"/>
        </w:rPr>
        <w:t>Таблица 4.5 – Основные характеристики детектора - индикатора радиоактивности КВАРТЕКС РД 8901.</w:t>
      </w:r>
    </w:p>
    <w:tbl>
      <w:tblPr>
        <w:tblW w:w="5000" w:type="pct"/>
        <w:jc w:val="center"/>
        <w:tblCellSpacing w:w="7" w:type="dxa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tblLook w:val="0000"/>
      </w:tblPr>
      <w:tblGrid>
        <w:gridCol w:w="5747"/>
        <w:gridCol w:w="1328"/>
        <w:gridCol w:w="2368"/>
      </w:tblGrid>
      <w:tr w:rsidR="00F615A0" w:rsidRPr="00C4302E" w:rsidTr="00692A97">
        <w:trPr>
          <w:tblCellSpacing w:w="7" w:type="dxa"/>
          <w:jc w:val="center"/>
        </w:trPr>
        <w:tc>
          <w:tcPr>
            <w:tcW w:w="3032" w:type="pct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Датчик </w:t>
            </w:r>
          </w:p>
        </w:tc>
        <w:tc>
          <w:tcPr>
            <w:tcW w:w="696" w:type="pct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C4302E">
              <w:rPr>
                <w:color w:val="000000"/>
                <w:sz w:val="20"/>
                <w:szCs w:val="20"/>
              </w:rPr>
              <w:t>отн</w:t>
            </w:r>
            <w:proofErr w:type="gramStart"/>
            <w:r w:rsidRPr="00C4302E">
              <w:rPr>
                <w:color w:val="000000"/>
                <w:sz w:val="20"/>
                <w:szCs w:val="20"/>
              </w:rPr>
              <w:t>.е</w:t>
            </w:r>
            <w:proofErr w:type="gramEnd"/>
            <w:r w:rsidRPr="00C4302E">
              <w:rPr>
                <w:color w:val="000000"/>
                <w:sz w:val="20"/>
                <w:szCs w:val="20"/>
              </w:rPr>
              <w:t>д</w:t>
            </w:r>
            <w:proofErr w:type="spellEnd"/>
          </w:p>
        </w:tc>
        <w:tc>
          <w:tcPr>
            <w:tcW w:w="1243" w:type="pct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газоразрядный счётчик </w:t>
            </w:r>
            <w:r w:rsidRPr="00C4302E">
              <w:rPr>
                <w:color w:val="000000"/>
                <w:sz w:val="20"/>
                <w:szCs w:val="20"/>
              </w:rPr>
              <w:br/>
              <w:t xml:space="preserve">Гейгера – Мюллера </w:t>
            </w:r>
            <w:r w:rsidRPr="00C4302E">
              <w:rPr>
                <w:color w:val="000000"/>
                <w:sz w:val="20"/>
                <w:szCs w:val="20"/>
              </w:rPr>
              <w:br/>
              <w:t xml:space="preserve">типа СБМ–20-1 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Диапазон измерений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C4302E">
              <w:rPr>
                <w:color w:val="000000"/>
                <w:sz w:val="20"/>
                <w:szCs w:val="20"/>
              </w:rPr>
              <w:t>мкР</w:t>
            </w:r>
            <w:proofErr w:type="spellEnd"/>
            <w:r w:rsidRPr="00C4302E">
              <w:rPr>
                <w:color w:val="000000"/>
                <w:sz w:val="20"/>
                <w:szCs w:val="20"/>
              </w:rPr>
              <w:t>/час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0...999 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Диапазон энергий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>МэВ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0,1 ... 1,25 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Цикл измерений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с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34±4 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Относительная погрешность измерений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%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~30 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Температурный диапазон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°С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-45...+55 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Время непрерывной работы от батареи с номинальным напряжением 9В при уровне естественного фона 10…30 </w:t>
            </w:r>
            <w:proofErr w:type="spellStart"/>
            <w:r w:rsidRPr="00C4302E">
              <w:rPr>
                <w:color w:val="000000"/>
                <w:sz w:val="20"/>
                <w:szCs w:val="20"/>
              </w:rPr>
              <w:t>мкР</w:t>
            </w:r>
            <w:proofErr w:type="spellEnd"/>
            <w:r w:rsidRPr="00C4302E">
              <w:rPr>
                <w:color w:val="000000"/>
                <w:sz w:val="20"/>
                <w:szCs w:val="20"/>
              </w:rPr>
              <w:t xml:space="preserve">/ч, не менее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C4302E">
              <w:rPr>
                <w:color w:val="000000"/>
                <w:sz w:val="20"/>
                <w:szCs w:val="20"/>
              </w:rPr>
              <w:t>c</w:t>
            </w:r>
            <w:proofErr w:type="spellEnd"/>
            <w:r w:rsidRPr="00C4302E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>3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Питание (батарея 6(PL)F22)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>В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9 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Габаритные размеры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>мм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146x60x25 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Вес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proofErr w:type="gramStart"/>
            <w:r w:rsidRPr="00C4302E">
              <w:rPr>
                <w:color w:val="000000"/>
                <w:sz w:val="20"/>
                <w:szCs w:val="20"/>
              </w:rPr>
              <w:t>кг</w:t>
            </w:r>
            <w:proofErr w:type="gramEnd"/>
            <w:r w:rsidRPr="00C4302E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0,12 </w:t>
            </w:r>
          </w:p>
        </w:tc>
      </w:tr>
    </w:tbl>
    <w:p w:rsidR="00F615A0" w:rsidRDefault="00F615A0" w:rsidP="00F615A0">
      <w:pPr>
        <w:spacing w:before="150" w:after="150"/>
        <w:ind w:firstLine="720"/>
        <w:jc w:val="both"/>
        <w:rPr>
          <w:bCs/>
          <w:color w:val="000000"/>
          <w:sz w:val="20"/>
          <w:szCs w:val="20"/>
        </w:rPr>
      </w:pPr>
    </w:p>
    <w:p w:rsidR="00F615A0" w:rsidRPr="00C4302E" w:rsidRDefault="00F615A0" w:rsidP="00F615A0">
      <w:pPr>
        <w:spacing w:before="150" w:after="150"/>
        <w:ind w:firstLine="720"/>
        <w:jc w:val="both"/>
        <w:rPr>
          <w:bCs/>
          <w:color w:val="000000"/>
          <w:sz w:val="20"/>
          <w:szCs w:val="20"/>
        </w:rPr>
      </w:pPr>
      <w:r w:rsidRPr="00C4302E">
        <w:rPr>
          <w:bCs/>
          <w:color w:val="000000"/>
          <w:sz w:val="20"/>
          <w:szCs w:val="20"/>
        </w:rPr>
        <w:lastRenderedPageBreak/>
        <w:t xml:space="preserve">На рисунке 4.4. показан индикатор радиоактивности РАДЭКС РД 1503 </w:t>
      </w:r>
    </w:p>
    <w:p w:rsidR="00F615A0" w:rsidRPr="00C4302E" w:rsidRDefault="00F615A0" w:rsidP="00F615A0">
      <w:pPr>
        <w:spacing w:before="150" w:after="75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noProof/>
          <w:color w:val="000000"/>
          <w:sz w:val="20"/>
          <w:szCs w:val="20"/>
        </w:rPr>
        <w:drawing>
          <wp:inline distT="0" distB="0" distL="0" distR="0">
            <wp:extent cx="2314575" cy="2514600"/>
            <wp:effectExtent l="19050" t="0" r="9525" b="0"/>
            <wp:docPr id="75" name="Рисунок 75" descr="C:\Documents and Settings\User\Мои документы\мет. пос. .и ук\уч.пос.рад.без\радинукл. из иноенета\Глава 8_ Источники радиации.files\image032_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C:\Documents and Settings\User\Мои документы\мет. пос. .и ук\уч.пос.рад.без\радинукл. из иноенета\Глава 8_ Источники радиации.files\image032_c.gif"/>
                    <pic:cNvPicPr>
                      <a:picLocks noChangeAspect="1" noChangeArrowheads="1"/>
                    </pic:cNvPicPr>
                  </pic:nvPicPr>
                  <pic:blipFill>
                    <a:blip r:embed="rId10" r:link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15A0" w:rsidRPr="00C4302E" w:rsidRDefault="00F615A0" w:rsidP="00F615A0">
      <w:pPr>
        <w:spacing w:before="150" w:after="75"/>
        <w:jc w:val="center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F615A0" w:rsidRPr="00C4302E" w:rsidRDefault="00F615A0" w:rsidP="00F615A0">
      <w:pPr>
        <w:spacing w:before="150" w:after="75"/>
        <w:ind w:firstLine="720"/>
        <w:jc w:val="both"/>
        <w:rPr>
          <w:color w:val="000000"/>
          <w:sz w:val="20"/>
          <w:szCs w:val="20"/>
        </w:rPr>
      </w:pPr>
      <w:r w:rsidRPr="00C4302E">
        <w:rPr>
          <w:bCs/>
          <w:color w:val="000000"/>
          <w:sz w:val="20"/>
          <w:szCs w:val="20"/>
        </w:rPr>
        <w:t>Рис. 4.4 Индикатор радиоактивности РАДЭКС РД 1503</w:t>
      </w:r>
    </w:p>
    <w:p w:rsidR="00F615A0" w:rsidRPr="00C4302E" w:rsidRDefault="00F615A0" w:rsidP="00F615A0">
      <w:pPr>
        <w:spacing w:before="150" w:after="150"/>
        <w:ind w:firstLine="720"/>
        <w:jc w:val="both"/>
        <w:rPr>
          <w:color w:val="000000"/>
          <w:sz w:val="20"/>
          <w:szCs w:val="20"/>
        </w:rPr>
      </w:pPr>
      <w:r w:rsidRPr="00C4302E">
        <w:rPr>
          <w:color w:val="000000"/>
          <w:sz w:val="20"/>
          <w:szCs w:val="20"/>
        </w:rPr>
        <w:t xml:space="preserve">Прибор предназначен для оценки мощности </w:t>
      </w:r>
      <w:proofErr w:type="spellStart"/>
      <w:r w:rsidRPr="00C4302E">
        <w:rPr>
          <w:color w:val="000000"/>
          <w:sz w:val="20"/>
          <w:szCs w:val="20"/>
        </w:rPr>
        <w:t>амбиентного</w:t>
      </w:r>
      <w:proofErr w:type="spellEnd"/>
      <w:r w:rsidRPr="00C4302E">
        <w:rPr>
          <w:color w:val="000000"/>
          <w:sz w:val="20"/>
          <w:szCs w:val="20"/>
        </w:rPr>
        <w:t xml:space="preserve"> эквивалента дозы гамма-излучения населением в бытовых условиях (продукты питания, стройматериалы, почва и т.д.), а также может быть использован персоналом, работающим с источниками ионизирующих излучений. Кроме того, он позволяет обнаруживать загрязненность объектов </w:t>
      </w:r>
      <w:proofErr w:type="spellStart"/>
      <w:proofErr w:type="gramStart"/>
      <w:r w:rsidRPr="00C4302E">
        <w:rPr>
          <w:color w:val="000000"/>
          <w:sz w:val="20"/>
          <w:szCs w:val="20"/>
        </w:rPr>
        <w:t>бета-активными</w:t>
      </w:r>
      <w:proofErr w:type="spellEnd"/>
      <w:proofErr w:type="gramEnd"/>
      <w:r w:rsidRPr="00C4302E">
        <w:rPr>
          <w:color w:val="000000"/>
          <w:sz w:val="20"/>
          <w:szCs w:val="20"/>
        </w:rPr>
        <w:t xml:space="preserve"> радионуклидами. Прибор подсчитывает количество гамма и бета - частиц с помощью счетчика Гейгера - Мюллера в течение 40 с и индицирует показания в </w:t>
      </w:r>
      <w:proofErr w:type="spellStart"/>
      <w:r w:rsidRPr="00C4302E">
        <w:rPr>
          <w:color w:val="000000"/>
          <w:sz w:val="20"/>
          <w:szCs w:val="20"/>
        </w:rPr>
        <w:t>мкЗв</w:t>
      </w:r>
      <w:proofErr w:type="spellEnd"/>
      <w:r w:rsidRPr="00C4302E">
        <w:rPr>
          <w:color w:val="000000"/>
          <w:sz w:val="20"/>
          <w:szCs w:val="20"/>
        </w:rPr>
        <w:t xml:space="preserve">/час или </w:t>
      </w:r>
      <w:proofErr w:type="spellStart"/>
      <w:r w:rsidRPr="00C4302E">
        <w:rPr>
          <w:color w:val="000000"/>
          <w:sz w:val="20"/>
          <w:szCs w:val="20"/>
        </w:rPr>
        <w:t>мкР</w:t>
      </w:r>
      <w:proofErr w:type="spellEnd"/>
      <w:r w:rsidRPr="00C4302E">
        <w:rPr>
          <w:color w:val="000000"/>
          <w:sz w:val="20"/>
          <w:szCs w:val="20"/>
        </w:rPr>
        <w:t>/час на жидкокристаллическом дисплее. Регистрация каждой частицы сопровождается звуковым сигналом, что позволяет реализовать режим "Поиск“. В таблице 4.6 приведены основные характеристики прибора.</w:t>
      </w:r>
    </w:p>
    <w:p w:rsidR="00F615A0" w:rsidRPr="00C4302E" w:rsidRDefault="00F615A0" w:rsidP="00F615A0">
      <w:pPr>
        <w:spacing w:before="150" w:after="150"/>
        <w:ind w:firstLine="540"/>
        <w:jc w:val="both"/>
        <w:rPr>
          <w:color w:val="000000"/>
          <w:sz w:val="20"/>
          <w:szCs w:val="20"/>
        </w:rPr>
      </w:pPr>
      <w:r w:rsidRPr="00C4302E">
        <w:rPr>
          <w:color w:val="000000"/>
          <w:sz w:val="20"/>
          <w:szCs w:val="20"/>
        </w:rPr>
        <w:t xml:space="preserve">Таблица 4.6 – Основные характеристики индикатора </w:t>
      </w:r>
      <w:r w:rsidRPr="00C4302E">
        <w:rPr>
          <w:bCs/>
          <w:color w:val="000000"/>
          <w:sz w:val="20"/>
          <w:szCs w:val="20"/>
        </w:rPr>
        <w:t>радиоактивности РАДЭКС РД 1503</w:t>
      </w:r>
      <w:r w:rsidRPr="00C4302E">
        <w:rPr>
          <w:color w:val="000000"/>
          <w:sz w:val="20"/>
          <w:szCs w:val="20"/>
        </w:rPr>
        <w:t xml:space="preserve"> </w:t>
      </w:r>
    </w:p>
    <w:tbl>
      <w:tblPr>
        <w:tblW w:w="5000" w:type="pct"/>
        <w:jc w:val="center"/>
        <w:tblCellSpacing w:w="7" w:type="dxa"/>
        <w:tblBorders>
          <w:top w:val="outset" w:sz="6" w:space="0" w:color="333333"/>
          <w:left w:val="outset" w:sz="6" w:space="0" w:color="333333"/>
          <w:bottom w:val="outset" w:sz="6" w:space="0" w:color="333333"/>
          <w:right w:val="outset" w:sz="6" w:space="0" w:color="333333"/>
        </w:tblBorders>
        <w:tblLook w:val="0000"/>
      </w:tblPr>
      <w:tblGrid>
        <w:gridCol w:w="6121"/>
        <w:gridCol w:w="1516"/>
        <w:gridCol w:w="1806"/>
      </w:tblGrid>
      <w:tr w:rsidR="00F615A0" w:rsidRPr="00C4302E" w:rsidTr="00692A97">
        <w:trPr>
          <w:tblCellSpacing w:w="7" w:type="dxa"/>
          <w:jc w:val="center"/>
        </w:trPr>
        <w:tc>
          <w:tcPr>
            <w:tcW w:w="3230" w:type="pct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Диапазон показаний мощности дозы </w:t>
            </w:r>
          </w:p>
        </w:tc>
        <w:tc>
          <w:tcPr>
            <w:tcW w:w="795" w:type="pct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C4302E">
              <w:rPr>
                <w:color w:val="000000"/>
                <w:sz w:val="20"/>
                <w:szCs w:val="20"/>
              </w:rPr>
              <w:t>мкЗв</w:t>
            </w:r>
            <w:proofErr w:type="spellEnd"/>
            <w:r w:rsidRPr="00C4302E">
              <w:rPr>
                <w:color w:val="000000"/>
                <w:sz w:val="20"/>
                <w:szCs w:val="20"/>
              </w:rPr>
              <w:t>/ч</w:t>
            </w:r>
          </w:p>
        </w:tc>
        <w:tc>
          <w:tcPr>
            <w:tcW w:w="945" w:type="pct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>от 0.05 до 9.99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Диапазон показаний мощности экспозиционной дозы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C4302E">
              <w:rPr>
                <w:color w:val="000000"/>
                <w:sz w:val="20"/>
                <w:szCs w:val="20"/>
              </w:rPr>
              <w:t>мкР</w:t>
            </w:r>
            <w:proofErr w:type="spellEnd"/>
            <w:r w:rsidRPr="00C4302E">
              <w:rPr>
                <w:color w:val="000000"/>
                <w:sz w:val="20"/>
                <w:szCs w:val="20"/>
              </w:rPr>
              <w:t>/ч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>от 5 до 999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Диапазон энергий гамма-излучения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>МэВ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от 0,1 до 1,25 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C4302E">
              <w:rPr>
                <w:color w:val="000000"/>
                <w:sz w:val="20"/>
                <w:szCs w:val="20"/>
              </w:rPr>
              <w:t>Воспроизводимость</w:t>
            </w:r>
            <w:proofErr w:type="spellEnd"/>
            <w:r w:rsidRPr="00C4302E">
              <w:rPr>
                <w:color w:val="000000"/>
                <w:sz w:val="20"/>
                <w:szCs w:val="20"/>
              </w:rPr>
              <w:t xml:space="preserve"> показаний (при доверительной вероятности 0.95), где </w:t>
            </w:r>
            <w:proofErr w:type="gramStart"/>
            <w:r w:rsidRPr="00C4302E">
              <w:rPr>
                <w:color w:val="000000"/>
                <w:sz w:val="20"/>
                <w:szCs w:val="20"/>
              </w:rPr>
              <w:t>Р</w:t>
            </w:r>
            <w:proofErr w:type="gramEnd"/>
            <w:r w:rsidRPr="00C4302E">
              <w:rPr>
                <w:color w:val="000000"/>
                <w:sz w:val="20"/>
                <w:szCs w:val="20"/>
              </w:rPr>
              <w:t xml:space="preserve"> – мощность дозы в </w:t>
            </w:r>
            <w:proofErr w:type="spellStart"/>
            <w:r w:rsidRPr="00C4302E">
              <w:rPr>
                <w:color w:val="000000"/>
                <w:sz w:val="20"/>
                <w:szCs w:val="20"/>
              </w:rPr>
              <w:t>мкЗв</w:t>
            </w:r>
            <w:proofErr w:type="spellEnd"/>
            <w:r w:rsidRPr="00C4302E">
              <w:rPr>
                <w:color w:val="000000"/>
                <w:sz w:val="20"/>
                <w:szCs w:val="20"/>
              </w:rPr>
              <w:t xml:space="preserve">/ч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%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>15+6/</w:t>
            </w:r>
            <w:proofErr w:type="gramStart"/>
            <w:r w:rsidRPr="00C4302E">
              <w:rPr>
                <w:color w:val="000000"/>
                <w:sz w:val="20"/>
                <w:szCs w:val="20"/>
              </w:rPr>
              <w:t>Р</w:t>
            </w:r>
            <w:proofErr w:type="gramEnd"/>
            <w:r w:rsidRPr="00C4302E">
              <w:rPr>
                <w:color w:val="000000"/>
                <w:sz w:val="20"/>
                <w:szCs w:val="20"/>
              </w:rPr>
              <w:t xml:space="preserve"> 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vMerge w:val="restart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Уровни звуковой сигнализации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C4302E">
              <w:rPr>
                <w:color w:val="000000"/>
                <w:sz w:val="20"/>
                <w:szCs w:val="20"/>
              </w:rPr>
              <w:t>мкЗв</w:t>
            </w:r>
            <w:proofErr w:type="spellEnd"/>
            <w:r w:rsidRPr="00C4302E">
              <w:rPr>
                <w:color w:val="000000"/>
                <w:sz w:val="20"/>
                <w:szCs w:val="20"/>
              </w:rPr>
              <w:t>/ч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>0.30, 0.60, 1.20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vMerge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vAlign w:val="center"/>
          </w:tcPr>
          <w:p w:rsidR="00F615A0" w:rsidRPr="00C4302E" w:rsidRDefault="00F615A0" w:rsidP="00692A97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C4302E">
              <w:rPr>
                <w:color w:val="000000"/>
                <w:sz w:val="20"/>
                <w:szCs w:val="20"/>
              </w:rPr>
              <w:t>мкР</w:t>
            </w:r>
            <w:proofErr w:type="spellEnd"/>
            <w:r w:rsidRPr="00C4302E">
              <w:rPr>
                <w:color w:val="000000"/>
                <w:sz w:val="20"/>
                <w:szCs w:val="20"/>
              </w:rPr>
              <w:t>/ч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30, 60, 120 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Время наблюдения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с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40 ± 0.5* 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Индикация показаний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непрерывно 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Элемент питания типа «ААА»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proofErr w:type="spellStart"/>
            <w:proofErr w:type="gramStart"/>
            <w:r w:rsidRPr="00C4302E">
              <w:rPr>
                <w:color w:val="000000"/>
                <w:sz w:val="20"/>
                <w:szCs w:val="20"/>
              </w:rPr>
              <w:t>шт</w:t>
            </w:r>
            <w:proofErr w:type="spellEnd"/>
            <w:proofErr w:type="gramEnd"/>
            <w:r w:rsidRPr="00C4302E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один или два 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Время непрерывной работы изделия, не менее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часов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550** 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Габаритные размеры </w:t>
            </w:r>
            <w:r w:rsidRPr="00C4302E">
              <w:rPr>
                <w:color w:val="000000"/>
                <w:sz w:val="20"/>
                <w:szCs w:val="20"/>
              </w:rPr>
              <w:br/>
            </w:r>
            <w:r w:rsidRPr="00C4302E">
              <w:rPr>
                <w:color w:val="000000"/>
                <w:sz w:val="20"/>
                <w:szCs w:val="20"/>
              </w:rPr>
              <w:lastRenderedPageBreak/>
              <w:t xml:space="preserve">высота </w:t>
            </w:r>
            <w:proofErr w:type="spellStart"/>
            <w:r w:rsidRPr="00C4302E">
              <w:rPr>
                <w:color w:val="000000"/>
                <w:sz w:val="20"/>
                <w:szCs w:val="20"/>
              </w:rPr>
              <w:t>x</w:t>
            </w:r>
            <w:proofErr w:type="spellEnd"/>
            <w:r w:rsidRPr="00C4302E">
              <w:rPr>
                <w:color w:val="000000"/>
                <w:sz w:val="20"/>
                <w:szCs w:val="20"/>
              </w:rPr>
              <w:t xml:space="preserve"> ширина </w:t>
            </w:r>
            <w:proofErr w:type="spellStart"/>
            <w:r w:rsidRPr="00C4302E">
              <w:rPr>
                <w:color w:val="000000"/>
                <w:sz w:val="20"/>
                <w:szCs w:val="20"/>
              </w:rPr>
              <w:t>x</w:t>
            </w:r>
            <w:proofErr w:type="spellEnd"/>
            <w:r w:rsidRPr="00C4302E">
              <w:rPr>
                <w:color w:val="000000"/>
                <w:sz w:val="20"/>
                <w:szCs w:val="20"/>
              </w:rPr>
              <w:t xml:space="preserve"> толщина, </w:t>
            </w:r>
            <w:r w:rsidRPr="00C4302E">
              <w:rPr>
                <w:color w:val="000000"/>
                <w:sz w:val="20"/>
                <w:szCs w:val="20"/>
              </w:rPr>
              <w:br/>
              <w:t xml:space="preserve">не более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proofErr w:type="gramStart"/>
            <w:r w:rsidRPr="00C4302E">
              <w:rPr>
                <w:color w:val="000000"/>
                <w:sz w:val="20"/>
                <w:szCs w:val="20"/>
              </w:rPr>
              <w:lastRenderedPageBreak/>
              <w:t>мм</w:t>
            </w:r>
            <w:proofErr w:type="gramEnd"/>
            <w:r w:rsidRPr="00C4302E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105x60x26 </w:t>
            </w:r>
          </w:p>
        </w:tc>
      </w:tr>
      <w:tr w:rsidR="00F615A0" w:rsidRPr="00C4302E" w:rsidTr="00692A97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lastRenderedPageBreak/>
              <w:t xml:space="preserve">Масса изделия (без элементов питания), не более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proofErr w:type="gramStart"/>
            <w:r w:rsidRPr="00C4302E">
              <w:rPr>
                <w:color w:val="000000"/>
                <w:sz w:val="20"/>
                <w:szCs w:val="20"/>
              </w:rPr>
              <w:t>кг</w:t>
            </w:r>
            <w:proofErr w:type="gramEnd"/>
            <w:r w:rsidRPr="00C4302E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333333"/>
              <w:left w:val="outset" w:sz="6" w:space="0" w:color="333333"/>
              <w:bottom w:val="outset" w:sz="6" w:space="0" w:color="333333"/>
              <w:right w:val="outset" w:sz="6" w:space="0" w:color="333333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F615A0" w:rsidRPr="00C4302E" w:rsidRDefault="00F615A0" w:rsidP="00692A97">
            <w:pPr>
              <w:spacing w:before="150" w:after="150"/>
              <w:jc w:val="both"/>
              <w:rPr>
                <w:color w:val="000000"/>
                <w:sz w:val="20"/>
                <w:szCs w:val="20"/>
              </w:rPr>
            </w:pPr>
            <w:r w:rsidRPr="00C4302E">
              <w:rPr>
                <w:color w:val="000000"/>
                <w:sz w:val="20"/>
                <w:szCs w:val="20"/>
              </w:rPr>
              <w:t xml:space="preserve">0,09 </w:t>
            </w:r>
          </w:p>
        </w:tc>
      </w:tr>
    </w:tbl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При спользовании этих дозиметров следует иметь в виду, что портативные дозиметрические приборы для населения являются средствами измерения индикаторного типа. Их можно условно разделить на несколько групп:</w:t>
      </w:r>
    </w:p>
    <w:p w:rsidR="00F615A0" w:rsidRPr="00C4302E" w:rsidRDefault="00F615A0" w:rsidP="00F615A0">
      <w:pPr>
        <w:numPr>
          <w:ilvl w:val="0"/>
          <w:numId w:val="1"/>
        </w:numPr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сигнализаторы-индикаторы;</w:t>
      </w:r>
    </w:p>
    <w:p w:rsidR="00F615A0" w:rsidRPr="00C4302E" w:rsidRDefault="00F615A0" w:rsidP="00F615A0">
      <w:pPr>
        <w:numPr>
          <w:ilvl w:val="0"/>
          <w:numId w:val="1"/>
        </w:numPr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измерители-индикаторы;</w:t>
      </w:r>
    </w:p>
    <w:p w:rsidR="00F615A0" w:rsidRPr="00C4302E" w:rsidRDefault="00F615A0" w:rsidP="00F615A0">
      <w:pPr>
        <w:numPr>
          <w:ilvl w:val="0"/>
          <w:numId w:val="1"/>
        </w:numPr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комбинированные дозиметрические приборы.</w:t>
      </w:r>
    </w:p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Следует помнить, что результаты измерений, полученные с помощбю бытовых дозиметров, предназначенных для населения, не могут быть использованы для выдачи официальных заключений о радиационной обстановке.</w:t>
      </w:r>
    </w:p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</w:p>
    <w:p w:rsidR="00F615A0" w:rsidRPr="00C4302E" w:rsidRDefault="00F615A0" w:rsidP="00F615A0">
      <w:pPr>
        <w:ind w:firstLine="900"/>
        <w:outlineLvl w:val="0"/>
        <w:rPr>
          <w:b/>
          <w:sz w:val="20"/>
          <w:szCs w:val="20"/>
          <w:lang w:val="kk-KZ"/>
        </w:rPr>
      </w:pPr>
      <w:r w:rsidRPr="00C4302E">
        <w:rPr>
          <w:b/>
          <w:sz w:val="20"/>
          <w:szCs w:val="20"/>
          <w:lang w:val="kk-KZ"/>
        </w:rPr>
        <w:t>4.5 Исследование радиационного фона помещений</w:t>
      </w:r>
    </w:p>
    <w:p w:rsidR="00F615A0" w:rsidRPr="00C4302E" w:rsidRDefault="00F615A0" w:rsidP="00F615A0">
      <w:pPr>
        <w:ind w:firstLine="900"/>
        <w:jc w:val="center"/>
        <w:rPr>
          <w:b/>
          <w:sz w:val="20"/>
          <w:szCs w:val="20"/>
          <w:lang w:val="kk-KZ"/>
        </w:rPr>
      </w:pPr>
    </w:p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 xml:space="preserve">4.5.1 Измерение космического излучения. Измерение мощности поглощенной дозы космического излучения у поверхности Земли затруднено из-за наличия  γ – излучения земных пород. Поэтому дозу космического излучения определяют по результатам измерений, выполненных на самолете или шаре-зонде, на разных высотах и ш иротах с экстраполяцией к поверхности Зкмли. При этом учитывают, что доза удваивается с высотой через каждые </w:t>
      </w:r>
      <w:smartTag w:uri="urn:schemas-microsoft-com:office:smarttags" w:element="metricconverter">
        <w:smartTagPr>
          <w:attr w:name="ProductID" w:val="2 км"/>
        </w:smartTagPr>
        <w:r w:rsidRPr="00C4302E">
          <w:rPr>
            <w:sz w:val="20"/>
            <w:szCs w:val="20"/>
            <w:lang w:val="kk-KZ"/>
          </w:rPr>
          <w:t>2 км</w:t>
        </w:r>
      </w:smartTag>
      <w:r w:rsidRPr="00C4302E">
        <w:rPr>
          <w:sz w:val="20"/>
          <w:szCs w:val="20"/>
          <w:lang w:val="kk-KZ"/>
        </w:rPr>
        <w:t>. В домах, кроме того происходит ослабление космического излучения за счет экранирования межэтажных перекрытий.</w:t>
      </w:r>
    </w:p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4.5.2 Измерение γ – излучения естественных радионуклидов. Наиболее надежным методом измерения γ – излучения является ионизационный, но этот метод используется только для полкучения опорных точек при проведении точных измерений. Для измерения γ – фона можно использовать спектрометры со сцинцилляционными или полупроводниковыми детекторами, а так же приборы с газоразрядными счетчиками</w:t>
      </w:r>
    </w:p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4.5.3 Определение активности естественных радионуклидов в стройматериалах. Этот показатель является параметром, определяющим уровень γ – фона в помещениях. Для определения удельной активности естественных радионуклидов в стройматериалах используют радиохимические, радиометрические и γ –спектрометрические методы.</w:t>
      </w:r>
    </w:p>
    <w:p w:rsidR="00F615A0" w:rsidRPr="00C4302E" w:rsidRDefault="00F615A0" w:rsidP="00F615A0">
      <w:pPr>
        <w:ind w:firstLine="900"/>
        <w:jc w:val="both"/>
        <w:outlineLvl w:val="0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4.5.4 Определение содержания естественных радионуклидов в воздухе Определение заключается в измерении в воздухе помещений объемной активности радона и его дочерних продуктов. Для этого  используются высокоэффективные устройства отбора проб и высокочувствительные радиометрические установки – альфа радиометры, работающие по принципу сцинцилляционных приборов.</w:t>
      </w:r>
    </w:p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Для определения объемной активности дочерних продуктов радона используют методы осаждения их на фильтр с последующим измерением активности.</w:t>
      </w:r>
    </w:p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Радиационная безопасность ка профессионалов, так и населения охватывает обычно область низких доз. В этой ситуации особенно целесообразно использовать принципы микродозиметрии. При этом  пользуются понятиями стохастических и нестохастических величин.</w:t>
      </w:r>
    </w:p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Под стохастической величиной понимают величины, которые подвержены случайным флуктуациям ( колебаниям).</w:t>
      </w:r>
    </w:p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Нестохастическая величина – это математическое ожидание стохастической величины.</w:t>
      </w:r>
    </w:p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К стохастическим величинам относятся:</w:t>
      </w:r>
    </w:p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- переданная энергия;</w:t>
      </w:r>
    </w:p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-удельная энергия;</w:t>
      </w:r>
    </w:p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- линейная энергия;</w:t>
      </w:r>
    </w:p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  <w:r w:rsidRPr="00C4302E">
        <w:rPr>
          <w:sz w:val="20"/>
          <w:szCs w:val="20"/>
          <w:lang w:val="kk-KZ"/>
        </w:rPr>
        <w:t>Математическое ожидание этих величин – нестохастические величины.</w:t>
      </w:r>
    </w:p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</w:p>
    <w:p w:rsidR="00F615A0" w:rsidRPr="00C4302E" w:rsidRDefault="00F615A0" w:rsidP="00F615A0">
      <w:pPr>
        <w:ind w:firstLine="900"/>
        <w:jc w:val="both"/>
        <w:rPr>
          <w:sz w:val="20"/>
          <w:szCs w:val="20"/>
          <w:lang w:val="kk-KZ"/>
        </w:rPr>
      </w:pPr>
    </w:p>
    <w:p w:rsidR="00BE5B01" w:rsidRPr="00F615A0" w:rsidRDefault="00BE5B01">
      <w:pPr>
        <w:rPr>
          <w:lang w:val="kk-KZ"/>
        </w:rPr>
      </w:pPr>
    </w:p>
    <w:sectPr w:rsidR="00BE5B01" w:rsidRPr="00F615A0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6F5D44"/>
    <w:multiLevelType w:val="hybridMultilevel"/>
    <w:tmpl w:val="84540A3C"/>
    <w:lvl w:ilvl="0" w:tplc="3E161FD4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615A0"/>
    <w:rsid w:val="00011CCE"/>
    <w:rsid w:val="0097631C"/>
    <w:rsid w:val="009F5E71"/>
    <w:rsid w:val="00B51932"/>
    <w:rsid w:val="00BA77F2"/>
    <w:rsid w:val="00BE5B01"/>
    <w:rsid w:val="00BF2BEA"/>
    <w:rsid w:val="00E05956"/>
    <w:rsid w:val="00E46C74"/>
    <w:rsid w:val="00F615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5A0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15A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15A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file:///C:\Documents%20and%20Settings\&#1054;&#1083;&#1077;&#1085;&#1100;&#1082;&#1072;\&#1056;&#1072;&#1073;&#1086;&#1095;&#1080;&#1081;%20&#1089;&#1090;&#1086;&#1083;\&#1054;&#1056;&#1041;\&#1088;&#1072;&#1076;&#1080;&#1085;&#1091;&#1082;&#1083;.%20&#1080;&#1079;%20&#1080;&#1085;&#1086;&#1077;&#1085;&#1077;&#1090;&#1072;\&#1043;&#1083;&#1072;&#1074;&#1072;%208_%20&#1048;&#1089;&#1090;&#1086;&#1095;&#1085;&#1080;&#1082;&#1080;%20&#1088;&#1072;&#1076;&#1080;&#1072;&#1094;&#1080;&#1080;.files\image032_a.gi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file:///C:\Documents%20and%20Settings\User\&#1052;&#1086;&#1080;%20&#1076;&#1086;&#1082;&#1091;&#1084;&#1077;&#1085;&#1090;&#1099;\&#1084;&#1077;&#1090;.%20&#1087;&#1086;&#1089;.%20.&#1080;%20&#1091;&#1082;\&#1091;&#1095;.&#1087;&#1086;&#1089;.&#1088;&#1072;&#1076;.&#1073;&#1077;&#1079;\&#1088;&#1072;&#1076;&#1080;&#1085;&#1091;&#1082;&#1083;.%20&#1080;&#1079;%20&#1080;&#1085;&#1086;&#1077;&#1085;&#1077;&#1090;&#1072;\&#1043;&#1083;&#1072;&#1074;&#1072;%208_%20&#1048;&#1089;&#1090;&#1086;&#1095;&#1085;&#1080;&#1082;&#1080;%20&#1088;&#1072;&#1076;&#1080;&#1072;&#1094;&#1080;&#1080;.files\image032_c.gif" TargetMode="External"/><Relationship Id="rId5" Type="http://schemas.openxmlformats.org/officeDocument/2006/relationships/image" Target="media/image1.jpe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file:///C:\Documents%20and%20Settings\&#1054;&#1083;&#1077;&#1085;&#1100;&#1082;&#1072;\&#1056;&#1072;&#1073;&#1086;&#1095;&#1080;&#1081;%20&#1089;&#1090;&#1086;&#1083;\&#1054;&#1056;&#1041;\&#1088;&#1072;&#1076;&#1080;&#1085;&#1091;&#1082;&#1083;.%20&#1080;&#1079;%20&#1080;&#1085;&#1086;&#1077;&#1085;&#1077;&#1090;&#1072;\&#1043;&#1083;&#1072;&#1074;&#1072;%208_%20&#1048;&#1089;&#1090;&#1086;&#1095;&#1085;&#1080;&#1082;&#1080;%20&#1088;&#1072;&#1076;&#1080;&#1072;&#1094;&#1080;&#1080;.files\image032_b.gi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1767</Words>
  <Characters>10073</Characters>
  <Application>Microsoft Office Word</Application>
  <DocSecurity>0</DocSecurity>
  <Lines>83</Lines>
  <Paragraphs>23</Paragraphs>
  <ScaleCrop>false</ScaleCrop>
  <Company>HOME</Company>
  <LinksUpToDate>false</LinksUpToDate>
  <CharactersWithSpaces>11817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2017-01-30T18:59:00Z</dcterms:created>
  <dcterms:modified xsi:type="dcterms:W3CDTF">2017-01-30T19:00:00Z</dcterms:modified>
</cp:coreProperties>
</file>